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299" w:rsidRDefault="007B2299" w:rsidP="007B2299">
      <w:pPr>
        <w:pStyle w:val="Heading1"/>
        <w:shd w:val="clear" w:color="auto" w:fill="FFFFFF"/>
        <w:spacing w:before="330" w:after="300"/>
        <w:rPr>
          <w:rFonts w:ascii="Verdana" w:hAnsi="Verdana"/>
          <w:caps/>
          <w:color w:val="F26B37"/>
          <w:spacing w:val="15"/>
          <w:sz w:val="60"/>
          <w:szCs w:val="60"/>
        </w:rPr>
      </w:pPr>
      <w:bookmarkStart w:id="0" w:name="_GoBack"/>
      <w:bookmarkEnd w:id="0"/>
      <w:r>
        <w:rPr>
          <w:rFonts w:ascii="Verdana" w:hAnsi="Verdana"/>
          <w:caps/>
          <w:color w:val="F26B37"/>
          <w:spacing w:val="15"/>
          <w:sz w:val="60"/>
          <w:szCs w:val="60"/>
        </w:rPr>
        <w:t>CRITERIA FOR ACCREDITING ENGINEERING TECHNOLOGY PROGRAMS, 2016 – 2017</w:t>
      </w:r>
    </w:p>
    <w:p w:rsidR="007B2299" w:rsidRDefault="00370DDF" w:rsidP="007B2299">
      <w:pPr>
        <w:numPr>
          <w:ilvl w:val="0"/>
          <w:numId w:val="1"/>
        </w:numPr>
        <w:shd w:val="clear" w:color="auto" w:fill="F2F2F3"/>
        <w:spacing w:after="100" w:afterAutospacing="1" w:line="345" w:lineRule="atLeast"/>
        <w:rPr>
          <w:rFonts w:ascii="Verdana" w:hAnsi="Verdana"/>
          <w:b/>
          <w:bCs/>
          <w:color w:val="333333"/>
          <w:sz w:val="30"/>
          <w:szCs w:val="30"/>
        </w:rPr>
      </w:pPr>
      <w:hyperlink r:id="rId6" w:history="1">
        <w:r w:rsidR="007B2299">
          <w:rPr>
            <w:rStyle w:val="Hyperlink"/>
            <w:rFonts w:ascii="Verdana" w:hAnsi="Verdana"/>
            <w:b/>
            <w:bCs/>
            <w:color w:val="F26B37"/>
            <w:sz w:val="30"/>
            <w:szCs w:val="30"/>
          </w:rPr>
          <w:t>PDF VERSION</w:t>
        </w:r>
      </w:hyperlink>
    </w:p>
    <w:p w:rsidR="007B2299" w:rsidRDefault="00370DD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7" w:history="1">
        <w:r w:rsidR="007B2299">
          <w:rPr>
            <w:rStyle w:val="Hyperlink"/>
            <w:rFonts w:ascii="Verdana" w:hAnsi="Verdana"/>
            <w:b/>
            <w:bCs/>
            <w:color w:val="F26B37"/>
            <w:sz w:val="30"/>
            <w:szCs w:val="30"/>
          </w:rPr>
          <w:t>DEFINITIONS</w:t>
        </w:r>
      </w:hyperlink>
    </w:p>
    <w:p w:rsidR="007B2299" w:rsidRDefault="00370DD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8" w:anchor="students" w:history="1">
        <w:r w:rsidR="007B2299">
          <w:rPr>
            <w:rStyle w:val="Hyperlink"/>
            <w:rFonts w:ascii="Verdana" w:hAnsi="Verdana"/>
            <w:b/>
            <w:bCs/>
            <w:color w:val="F26B37"/>
            <w:sz w:val="30"/>
            <w:szCs w:val="30"/>
          </w:rPr>
          <w:t>General Criterion 1. Students</w:t>
        </w:r>
      </w:hyperlink>
    </w:p>
    <w:p w:rsidR="007B2299" w:rsidRDefault="00370DD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9" w:anchor="program" w:history="1">
        <w:r w:rsidR="007B2299">
          <w:rPr>
            <w:rStyle w:val="Hyperlink"/>
            <w:rFonts w:ascii="Verdana" w:hAnsi="Verdana"/>
            <w:b/>
            <w:bCs/>
            <w:color w:val="F26B37"/>
            <w:sz w:val="30"/>
            <w:szCs w:val="30"/>
          </w:rPr>
          <w:t>General Criterion 2. Program Educational Objectives</w:t>
        </w:r>
      </w:hyperlink>
    </w:p>
    <w:p w:rsidR="007B2299" w:rsidRDefault="00370DD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0" w:anchor="studentoutcomes" w:history="1">
        <w:r w:rsidR="007B2299">
          <w:rPr>
            <w:rStyle w:val="Hyperlink"/>
            <w:rFonts w:ascii="Verdana" w:hAnsi="Verdana"/>
            <w:b/>
            <w:bCs/>
            <w:color w:val="F26B37"/>
            <w:sz w:val="30"/>
            <w:szCs w:val="30"/>
          </w:rPr>
          <w:t>General Criterion 3: Student Outcomes</w:t>
        </w:r>
      </w:hyperlink>
    </w:p>
    <w:p w:rsidR="007B2299" w:rsidRDefault="00370DD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1" w:anchor="continuous" w:history="1">
        <w:r w:rsidR="007B2299">
          <w:rPr>
            <w:rStyle w:val="Hyperlink"/>
            <w:rFonts w:ascii="Verdana" w:hAnsi="Verdana"/>
            <w:b/>
            <w:bCs/>
            <w:color w:val="F26B37"/>
            <w:sz w:val="30"/>
            <w:szCs w:val="30"/>
          </w:rPr>
          <w:t>General Criterion 4: Continuous Improvement</w:t>
        </w:r>
      </w:hyperlink>
    </w:p>
    <w:p w:rsidR="007B2299" w:rsidRDefault="00370DD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2" w:anchor="curriculum" w:history="1">
        <w:r w:rsidR="007B2299">
          <w:rPr>
            <w:rStyle w:val="Hyperlink"/>
            <w:rFonts w:ascii="Verdana" w:hAnsi="Verdana"/>
            <w:b/>
            <w:bCs/>
            <w:color w:val="F26B37"/>
            <w:sz w:val="30"/>
            <w:szCs w:val="30"/>
          </w:rPr>
          <w:t>General Criterion 5: Curriculum</w:t>
        </w:r>
      </w:hyperlink>
    </w:p>
    <w:p w:rsidR="007B2299" w:rsidRDefault="00370DD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3" w:anchor="faculty" w:history="1">
        <w:r w:rsidR="007B2299">
          <w:rPr>
            <w:rStyle w:val="Hyperlink"/>
            <w:rFonts w:ascii="Verdana" w:hAnsi="Verdana"/>
            <w:b/>
            <w:bCs/>
            <w:color w:val="F26B37"/>
            <w:sz w:val="30"/>
            <w:szCs w:val="30"/>
          </w:rPr>
          <w:t>General Criterion 6: Faculty</w:t>
        </w:r>
      </w:hyperlink>
    </w:p>
    <w:p w:rsidR="007B2299" w:rsidRDefault="00370DD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4" w:anchor="facilities" w:history="1">
        <w:r w:rsidR="007B2299">
          <w:rPr>
            <w:rStyle w:val="Hyperlink"/>
            <w:rFonts w:ascii="Verdana" w:hAnsi="Verdana"/>
            <w:b/>
            <w:bCs/>
            <w:color w:val="F26B37"/>
            <w:sz w:val="30"/>
            <w:szCs w:val="30"/>
          </w:rPr>
          <w:t>General Criterion 7: Facilities</w:t>
        </w:r>
      </w:hyperlink>
    </w:p>
    <w:p w:rsidR="007B2299" w:rsidRDefault="00370DD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5" w:anchor="isupport" w:history="1">
        <w:r w:rsidR="007B2299">
          <w:rPr>
            <w:rStyle w:val="Hyperlink"/>
            <w:rFonts w:ascii="Verdana" w:hAnsi="Verdana"/>
            <w:b/>
            <w:bCs/>
            <w:color w:val="F26B37"/>
            <w:sz w:val="30"/>
            <w:szCs w:val="30"/>
          </w:rPr>
          <w:t>General Criterion 8: Institutional Support</w:t>
        </w:r>
      </w:hyperlink>
    </w:p>
    <w:p w:rsidR="007B2299" w:rsidRDefault="00370DD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6" w:anchor="programcriteria" w:history="1">
        <w:r w:rsidR="007B2299">
          <w:rPr>
            <w:rStyle w:val="Hyperlink"/>
            <w:rFonts w:ascii="Verdana" w:hAnsi="Verdana"/>
            <w:b/>
            <w:bCs/>
            <w:color w:val="F26B37"/>
            <w:sz w:val="30"/>
            <w:szCs w:val="30"/>
          </w:rPr>
          <w:t>II. PROGRAM CRITERIA</w:t>
        </w:r>
      </w:hyperlink>
    </w:p>
    <w:p w:rsidR="007B2299" w:rsidRDefault="00370DDF"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7" w:anchor="changes" w:history="1">
        <w:r w:rsidR="007B2299">
          <w:rPr>
            <w:rStyle w:val="Hyperlink"/>
            <w:rFonts w:ascii="Verdana" w:hAnsi="Verdana"/>
            <w:b/>
            <w:bCs/>
            <w:color w:val="F26B37"/>
            <w:sz w:val="30"/>
            <w:szCs w:val="30"/>
          </w:rPr>
          <w:t>III. PROPOSED CHANGES</w:t>
        </w:r>
      </w:hyperlink>
    </w:p>
    <w:p w:rsidR="007B2299" w:rsidRDefault="007B2299" w:rsidP="007B2299">
      <w:pPr>
        <w:pStyle w:val="Heading1"/>
        <w:shd w:val="clear" w:color="auto" w:fill="F2F2F3"/>
        <w:rPr>
          <w:rFonts w:ascii="Verdana" w:hAnsi="Verdana"/>
          <w:b/>
          <w:bCs/>
          <w:caps/>
          <w:color w:val="333333"/>
          <w:spacing w:val="15"/>
          <w:sz w:val="38"/>
          <w:szCs w:val="38"/>
        </w:rPr>
      </w:pPr>
      <w:r>
        <w:rPr>
          <w:rFonts w:ascii="Verdana" w:hAnsi="Verdana"/>
          <w:caps/>
          <w:color w:val="333333"/>
          <w:spacing w:val="15"/>
          <w:sz w:val="38"/>
          <w:szCs w:val="38"/>
        </w:rPr>
        <w:t>DEFINITIONS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While ABET recognizes and supports the prerogative of institutions to adopt and use the terminology of their choice, it is necessary for ABET volunteers and staff to have a consistent understanding of terminology. With that purpose in mind, the Commissions will use the following basic definitions: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Program Educational Objectives</w:t>
      </w:r>
      <w:r>
        <w:rPr>
          <w:rFonts w:ascii="Georgia" w:hAnsi="Georgia"/>
          <w:color w:val="333333"/>
        </w:rPr>
        <w:br/>
        <w:t>Program educational objectives are broad statements that describe what graduates are expected to attain within a few years after graduation. Program educational objectives are based on the needs of the program’s constituencies.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lastRenderedPageBreak/>
        <w:t>Student Outcomes</w:t>
      </w:r>
      <w:r>
        <w:rPr>
          <w:rFonts w:ascii="Georgia" w:hAnsi="Georgia"/>
          <w:color w:val="333333"/>
        </w:rPr>
        <w:br/>
        <w:t>Student outcomes describe what students are expected to know and be able to do by the time of graduation. These relate to the knowledge, skills, and behaviors that students acquire as they progress through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Assessment</w:t>
      </w:r>
      <w:r>
        <w:rPr>
          <w:rStyle w:val="apple-converted-space"/>
          <w:rFonts w:ascii="Georgia" w:hAnsi="Georgia"/>
          <w:b/>
          <w:bCs/>
          <w:color w:val="333333"/>
        </w:rPr>
        <w:t> </w:t>
      </w:r>
      <w:r>
        <w:rPr>
          <w:rFonts w:ascii="Georgia" w:hAnsi="Georgia"/>
          <w:color w:val="333333"/>
        </w:rPr>
        <w:br/>
        <w:t>Assessment is one or more processes that identify, collect, and prepare data to evaluate the attainment of student outcomes. Effective assessment uses relevant direct, indirect, quantitative and qualitative measures as appropriate to the outcome being measured. Appropriate sampling methods may be used as part of an assessment process.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Evaluation</w:t>
      </w:r>
      <w:r>
        <w:rPr>
          <w:rStyle w:val="apple-converted-space"/>
          <w:rFonts w:ascii="Georgia" w:hAnsi="Georgia"/>
          <w:b/>
          <w:bCs/>
          <w:color w:val="333333"/>
        </w:rPr>
        <w:t> </w:t>
      </w:r>
      <w:r>
        <w:rPr>
          <w:rFonts w:ascii="Georgia" w:hAnsi="Georgia"/>
          <w:color w:val="333333"/>
        </w:rPr>
        <w:br/>
        <w:t>Evaluation is one or more processes for interpreting the data and evidence accumulated through assessment processes. Evaluation determines the extent to which student outcomes are being attained. Evaluation results in decisions and actions regarding program improvement.</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criteria for accreditation are in two sections.</w:t>
      </w:r>
    </w:p>
    <w:p w:rsidR="007B2299" w:rsidRDefault="007B2299" w:rsidP="007B2299">
      <w:pPr>
        <w:numPr>
          <w:ilvl w:val="0"/>
          <w:numId w:val="2"/>
        </w:numPr>
        <w:shd w:val="clear" w:color="auto" w:fill="F2F2F3"/>
        <w:ind w:left="0"/>
        <w:rPr>
          <w:rFonts w:ascii="Georgia" w:hAnsi="Georgia"/>
          <w:color w:val="333333"/>
        </w:rPr>
      </w:pPr>
      <w:r>
        <w:rPr>
          <w:rFonts w:ascii="Georgia" w:hAnsi="Georgia"/>
          <w:color w:val="333333"/>
        </w:rPr>
        <w:t>General Criteria apply to all programs accredited by an ABET commission. Each program accredited by an ABET commission must satisfy every Criterion that is in the General Criteria for that commission.</w:t>
      </w:r>
    </w:p>
    <w:p w:rsidR="007B2299" w:rsidRDefault="007B2299" w:rsidP="007B2299">
      <w:pPr>
        <w:numPr>
          <w:ilvl w:val="0"/>
          <w:numId w:val="2"/>
        </w:numPr>
        <w:shd w:val="clear" w:color="auto" w:fill="F2F2F3"/>
        <w:spacing w:before="240"/>
        <w:ind w:left="0"/>
        <w:rPr>
          <w:rFonts w:ascii="Georgia" w:hAnsi="Georgia"/>
          <w:color w:val="333333"/>
        </w:rPr>
      </w:pPr>
      <w:r>
        <w:rPr>
          <w:rFonts w:ascii="Georgia" w:hAnsi="Georgia"/>
          <w:color w:val="333333"/>
        </w:rPr>
        <w:t>Program Criteria provide discipline specific accreditation criteria. Programs must show that they satisfy all of the specific Program Criteria implied by the program title. Any overlapping requirements need be satisfied only once.</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It is the responsibility of the program seeking accreditation to demonstrate clearly that the program meets the following criteria.</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1. STUDENTS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Student performance must be evaluated. Student progress must be monitored to foster success in attaining student outcomes, thereby enabling graduates to attain program educational objectives. Students must be advised regarding curriculum and career matters.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 xml:space="preserve">The program must have and enforce policies for accepting both new and transfer students, awarding appropriate academic credit for courses taken at other institutions, and awarding appropriate academic credit for work in lieu of courses taken at the institution. The program must have and enforce </w:t>
      </w:r>
      <w:r>
        <w:rPr>
          <w:rFonts w:ascii="Georgia" w:hAnsi="Georgia"/>
          <w:color w:val="333333"/>
        </w:rPr>
        <w:lastRenderedPageBreak/>
        <w:t>procedures to ensure and document that students who graduate meet all graduation requirements.</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2.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The program must have published program educational objectives that are consistent with the mission of the institution, the needs of the program’s various constituencies, and these criteria. There must be a documented, systematically utilized, and effective process, involving program constituencies, for the periodic review of these program educational objectives that ensures they remain consistent with the institutional mission, the program’s constituents’ needs, and these criteria.</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3: STUDENT OUTCOMES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The program must have documented student outcomes that prepare graduates to attain the program educational objectives. There must be a documented and effective process for the periodic review and revision of these student outcomes.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For purposes of this section, broadly defined activities are those that involve a variety of resources; that involve the use of new processes, materials, or techniques in innovative ways; and that require a knowledge of standard operating procedures. Narrowly defined activities are those that involve limited resources, that involve the use of conventional processes and materials in new ways, and that require a knowledge of basic operating processes.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A. For associate degree programs, these student outcomes must include, but are not limited to, the following learned capabilities:</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t>a. an ability to apply the knowledge, techniques, skills, and modern tools of the discipline to narrowly defined engineering technology activities;</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t>b. an ability to apply a knowledge of mathematics, science, engineering, and technology to engineering technology problems that require limited application of principles but extensive practical knowledge;</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t>c. an ability to conduct standard tests and measurements, and to conduct, analyze, and interpret experiments;</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lastRenderedPageBreak/>
        <w:t>d. an ability to function effectively as a member of a technical team;</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t>e. an ability to identify, analyze, and solve narrowly defined engineering technology problems;</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t>f. an ability to apply written, oral, and graphical communication in both technical and non-technical environments; and an ability to identify and use appropriate technical literature;</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t>g. an understanding of the need for and an ability to engage in self-directed continuing professional development;</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r w:rsidRPr="00322DD7">
        <w:rPr>
          <w:rFonts w:ascii="Georgia" w:hAnsi="Georgia"/>
          <w:color w:val="333333"/>
          <w:highlight w:val="yellow"/>
        </w:rPr>
        <w:t>h. an understanding of and a commitment to address professional and ethical responsibilities, including a respect for diversity; and</w:t>
      </w:r>
    </w:p>
    <w:p w:rsidR="007B2299" w:rsidRDefault="007B2299" w:rsidP="007B2299">
      <w:pPr>
        <w:pStyle w:val="NormalWeb"/>
        <w:shd w:val="clear" w:color="auto" w:fill="F2F2F3"/>
        <w:spacing w:before="240" w:beforeAutospacing="0" w:after="0" w:afterAutospacing="0"/>
        <w:rPr>
          <w:rFonts w:ascii="Georgia" w:hAnsi="Georgia"/>
          <w:color w:val="333333"/>
        </w:rPr>
      </w:pPr>
      <w:r w:rsidRPr="00322DD7">
        <w:rPr>
          <w:rFonts w:ascii="Georgia" w:hAnsi="Georgia"/>
          <w:color w:val="333333"/>
          <w:highlight w:val="yellow"/>
        </w:rPr>
        <w:t>i. a commitment to quality, timeliness, and continuous improvement.</w:t>
      </w:r>
    </w:p>
    <w:p w:rsidR="002467B1" w:rsidRDefault="002467B1" w:rsidP="007B2299">
      <w:pPr>
        <w:pStyle w:val="NormalWeb"/>
        <w:shd w:val="clear" w:color="auto" w:fill="F2F2F3"/>
        <w:spacing w:before="240" w:beforeAutospacing="0" w:after="0" w:afterAutospacing="0"/>
        <w:rPr>
          <w:rFonts w:ascii="Georgia" w:hAnsi="Georgia"/>
          <w:color w:val="333333"/>
        </w:rPr>
      </w:pP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B. For baccalaureate degree programs, these student outcomes must include, but are not limited to, the following learned capabilities: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a. an ability to select and apply the knowledge, techniques, skills, and modern tools of the discipline to broadly-defined engineering technology activities;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b. an ability to select and apply a knowledge of mathematics, science, engineering, and technology to engineering technology problems that require the application of principles and applied procedures or methodologies;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c. an ability to conduct standard tests and measurements; to conduct, analyze, and interpret experiments; and to apply experimental results to improve processes;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d. an ability to design systems, components, or processes for broadly-defined engineering technology problems appropriate to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e. an ability to function effectively as a member or leader on a technical team;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lastRenderedPageBreak/>
        <w:t>f. an ability to identify, analyze, and solve broadly-defined engineering technology problems;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g. an ability to apply written, oral, and graphical communication in both technical and non-technical environments; and an ability to identify and use appropriate technical literature;</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h. an understanding of the need for and an ability to engage in self-directed continuing professional development;</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i. an understanding of and a commitment to address professional and ethical responsibilities including a respect for diversity;</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j. a knowledge of the impact of engineering technology solutions in a societal and global context; and</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k. a commitment to quality, timeliness, and continuous improvement.</w:t>
      </w:r>
    </w:p>
    <w:p w:rsidR="002467B1" w:rsidRDefault="002467B1" w:rsidP="007B2299">
      <w:pPr>
        <w:pStyle w:val="NormalWeb"/>
        <w:shd w:val="clear" w:color="auto" w:fill="F2F2F3"/>
        <w:spacing w:before="240" w:beforeAutospacing="0" w:after="0" w:afterAutospacing="0"/>
        <w:rPr>
          <w:rFonts w:ascii="Georgia" w:hAnsi="Georgia"/>
          <w:color w:val="333333"/>
        </w:rPr>
      </w:pP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4: CONTINUOUS IMPROVEMENT</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The program must regularly use appropriate, documented processes for assessing and evaluating the extent to which the student outcomes are being attained. The results of these evaluations must be systematically utilized as input for the continuous improvement of the program. Other available information may also be used to assist in the continuous improvement of the program.</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5: CURRICULUM</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The curriculum must effectively develop the following subject areas in support of student outcomes and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Mathematics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program must develop the ability of students to apply mathematics to the solution of technical problems.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a. Associate degree programs will, at a minimum, include algebra and trigonometry at a level appropriate to the student outcomes and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lastRenderedPageBreak/>
        <w:t>b. Baccalaureate degree programs will include the application of integral and differential calculus or other mathematics above the level of algebra and trigonometry appropriate to the student outcomes and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Technical Content</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technical content of the program must focus on the applied aspects of science and engineering and must:</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a. Represent at least 1/3 of the total credit hours for the program but no more than 2/3 of the total credit hours for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b. Include a technical core that prepares students for the increasingly complex technical specialties they will experience later in the curriculum.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c. Develop student competency in the use of equipment and tools common to the discipline.</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Physical and Natural Science</w:t>
      </w:r>
      <w:r>
        <w:rPr>
          <w:rFonts w:ascii="Georgia" w:hAnsi="Georgia"/>
          <w:color w:val="333333"/>
        </w:rPr>
        <w:br/>
        <w:t>The basic science content of the program must include physical or natural science with laboratory experiences as appropriate to the discipline.</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The Integration of Content</w:t>
      </w:r>
      <w:r>
        <w:rPr>
          <w:rFonts w:ascii="Georgia" w:hAnsi="Georgia"/>
          <w:color w:val="333333"/>
        </w:rPr>
        <w:br/>
        <w:t>Baccalaureate degree programs must provide a capstone or integrating experience that develops student competencies in applying both technical and non-technical skills in solving problems.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Cooperative Education</w:t>
      </w:r>
      <w:r>
        <w:rPr>
          <w:rFonts w:ascii="Georgia" w:hAnsi="Georgia"/>
          <w:color w:val="333333"/>
        </w:rPr>
        <w:br/>
        <w:t>When used to satisfy prescribed elements of these criteria, credits based upon cooperative/internships or similar experiences must include an appropriate academic component evaluated by the program faculty.</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Advisory Committee</w:t>
      </w:r>
      <w:r>
        <w:rPr>
          <w:rFonts w:ascii="Georgia" w:hAnsi="Georgia"/>
          <w:color w:val="333333"/>
        </w:rPr>
        <w:br/>
        <w:t>An advisory committee with representation from organizations being served by the program graduates must be utilized to periodically review the program’s curriculum and advise the program on the establishment, review, and revision of its program educational objectives. The advisory committee must provide advisement on current and future aspects of the technical fields for which the graduates are being prepared.</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lastRenderedPageBreak/>
        <w:t>GENERAL CRITERION 6: FACULTY</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Each faculty member teaching in the program must have expertise and educational background consistent with the contributions to the program expected from the faculty member. The competence of faculty members must be demonstrated by such factors as education, professional credentials and certifications, professional experience, ongoing professional development, contributions to the discipline, teaching effectiveness, and communication skills. Collectively, the faculty must have the breadth and depth to cover all curricular areas of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faculty serving in the program must be of sufficient number to maintain continuity, stability, oversight, student interaction, and advising. The faculty must have sufficient responsibility and authority to improve the program through definition and revision of program educational objectives and student outcomes as well as through the implementation of a program of study that fosters the attainment of student outcomes.</w:t>
      </w:r>
    </w:p>
    <w:p w:rsidR="00A314FC" w:rsidRDefault="00A314FC" w:rsidP="007B2299">
      <w:pPr>
        <w:pStyle w:val="NormalWeb"/>
        <w:shd w:val="clear" w:color="auto" w:fill="F2F2F3"/>
        <w:spacing w:before="240" w:beforeAutospacing="0" w:after="0" w:afterAutospacing="0"/>
        <w:rPr>
          <w:rFonts w:ascii="Georgia" w:hAnsi="Georgia"/>
          <w:color w:val="333333"/>
        </w:rPr>
      </w:pP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7: FACILITIES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Classrooms, offices, laboratories, and associated equipment must be adequate to support attainment of the student outcomes and to provide an atmosphere conducive to learning. Modern tools, equipment, computing resources, and laboratories appropriate to the program must be available, accessible, and systematically maintained and upgraded to enable students to attain the student outcomes and to support program needs. Students must be provided appropriate guidance regarding the use of the tools, equipment, computing resources, and laboratories available to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library services and the computing and information infrastructure must be adequate to support the scholarly and professional activities of the students and faculty.</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8: INSTITUTIONAL SUPPORT</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Institutional support and leadership must be adequate to ensure the quality and continuity of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lastRenderedPageBreak/>
        <w:t>Resources including institutional services, financial support, and staff (both administrative and technical) provided to the program must be adequate to meet program needs. The resources available to the program must be sufficient to attract, retain, and provide for the continued professional development of a qualified faculty. The resources available to the program must be sufficient to acquire, maintain, and operate infrastructures, facilities and equipment appropriate for the program, and to provide an environment in which student outcomes can be attained.</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II. PROGRAM CRITERIA</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Each program seeking accreditation from the Engineering Technology Accreditation Commission of ABET must demonstrate that it satisfies all Program Criteria implied by the program title.</w:t>
      </w:r>
    </w:p>
    <w:p w:rsidR="007B2299" w:rsidRDefault="007B2299" w:rsidP="007B2299">
      <w:pPr>
        <w:spacing w:after="120" w:line="340" w:lineRule="atLeast"/>
        <w:jc w:val="both"/>
        <w:rPr>
          <w:b/>
        </w:rPr>
      </w:pPr>
    </w:p>
    <w:p w:rsidR="007B2299" w:rsidRDefault="007B2299" w:rsidP="007B2299">
      <w:pPr>
        <w:spacing w:after="120" w:line="340" w:lineRule="atLeast"/>
        <w:jc w:val="both"/>
        <w:rPr>
          <w:b/>
        </w:rPr>
      </w:pPr>
    </w:p>
    <w:p w:rsidR="007B2299" w:rsidRDefault="007B2299" w:rsidP="007B2299">
      <w:pPr>
        <w:spacing w:after="120" w:line="340" w:lineRule="atLeast"/>
        <w:jc w:val="both"/>
        <w:rPr>
          <w:b/>
        </w:rPr>
      </w:pPr>
      <w:r w:rsidRPr="003A6FBE">
        <w:rPr>
          <w:b/>
        </w:rPr>
        <w:t>http://www.abet.org/accreditation/accreditation-criteria/criteria-for-accrediting-engineering-technology-programs-2016-2017/</w:t>
      </w:r>
    </w:p>
    <w:p w:rsidR="007B2299" w:rsidRDefault="007B2299" w:rsidP="007B2299">
      <w:pPr>
        <w:spacing w:after="120" w:line="340" w:lineRule="atLeast"/>
        <w:jc w:val="both"/>
        <w:rPr>
          <w:b/>
        </w:rPr>
      </w:pPr>
    </w:p>
    <w:p w:rsidR="007B2299" w:rsidRPr="00976273" w:rsidRDefault="007B2299" w:rsidP="007B2299">
      <w:pPr>
        <w:shd w:val="clear" w:color="auto" w:fill="F2F2F3"/>
        <w:rPr>
          <w:rFonts w:ascii="Georgia" w:hAnsi="Georgia"/>
          <w:color w:val="333333"/>
          <w:sz w:val="24"/>
          <w:szCs w:val="24"/>
        </w:rPr>
      </w:pPr>
      <w:r w:rsidRPr="00976273">
        <w:rPr>
          <w:rFonts w:ascii="Georgia" w:hAnsi="Georgia"/>
          <w:b/>
          <w:bCs/>
          <w:color w:val="333333"/>
          <w:sz w:val="24"/>
          <w:szCs w:val="24"/>
        </w:rPr>
        <w:t>Lead Society: Society of Manufacturing Engineers</w:t>
      </w:r>
    </w:p>
    <w:p w:rsidR="007B2299" w:rsidRPr="00976273" w:rsidRDefault="007B2299" w:rsidP="007B2299">
      <w:pPr>
        <w:shd w:val="clear" w:color="auto" w:fill="F2F2F3"/>
        <w:spacing w:before="240"/>
        <w:rPr>
          <w:rFonts w:ascii="Georgia" w:hAnsi="Georgia"/>
          <w:color w:val="333333"/>
          <w:sz w:val="24"/>
          <w:szCs w:val="24"/>
        </w:rPr>
      </w:pPr>
      <w:r w:rsidRPr="00976273">
        <w:rPr>
          <w:rFonts w:ascii="Georgia" w:hAnsi="Georgia"/>
          <w:b/>
          <w:bCs/>
          <w:color w:val="333333"/>
          <w:sz w:val="24"/>
          <w:szCs w:val="24"/>
        </w:rPr>
        <w:t>Applicability</w:t>
      </w:r>
      <w:r w:rsidRPr="00976273">
        <w:rPr>
          <w:rFonts w:ascii="Georgia" w:hAnsi="Georgia"/>
          <w:color w:val="333333"/>
          <w:sz w:val="24"/>
          <w:szCs w:val="24"/>
        </w:rPr>
        <w:br/>
        <w:t>These program criteria apply to engineering technology programs that include manufacturing or similar modifiers in their titles.</w:t>
      </w:r>
    </w:p>
    <w:p w:rsidR="007B2299" w:rsidRPr="00976273" w:rsidRDefault="007B2299" w:rsidP="007B2299">
      <w:pPr>
        <w:shd w:val="clear" w:color="auto" w:fill="F2F2F3"/>
        <w:spacing w:before="240"/>
        <w:rPr>
          <w:rFonts w:ascii="Georgia" w:hAnsi="Georgia"/>
          <w:color w:val="333333"/>
          <w:sz w:val="24"/>
          <w:szCs w:val="24"/>
        </w:rPr>
      </w:pPr>
      <w:r w:rsidRPr="00976273">
        <w:rPr>
          <w:rFonts w:ascii="Georgia" w:hAnsi="Georgia"/>
          <w:b/>
          <w:bCs/>
          <w:color w:val="333333"/>
          <w:sz w:val="24"/>
          <w:szCs w:val="24"/>
        </w:rPr>
        <w:t>Objective</w:t>
      </w:r>
      <w:r w:rsidRPr="00976273">
        <w:rPr>
          <w:rFonts w:ascii="Georgia" w:hAnsi="Georgia"/>
          <w:color w:val="333333"/>
          <w:sz w:val="24"/>
          <w:szCs w:val="24"/>
        </w:rPr>
        <w:br/>
        <w:t>An accreditable baccalaureate degree program in manufacturing engineering technology will prepare graduates with technical and leadership skills necessary for manufacturing competitiveness and to enter careers in manufacturing process and systems design, operations, quality, continuous improvement, lean manufacturing, and sustainability. Graduates of associate degree programs typically have careers in manufacturing operations and service functions.</w:t>
      </w:r>
    </w:p>
    <w:p w:rsidR="007B2299" w:rsidRPr="00976273" w:rsidRDefault="007B2299" w:rsidP="007B2299">
      <w:pPr>
        <w:shd w:val="clear" w:color="auto" w:fill="F2F2F3"/>
        <w:spacing w:before="240"/>
        <w:rPr>
          <w:rFonts w:ascii="Georgia" w:hAnsi="Georgia"/>
          <w:color w:val="333333"/>
          <w:sz w:val="24"/>
          <w:szCs w:val="24"/>
        </w:rPr>
      </w:pPr>
      <w:r w:rsidRPr="00976273">
        <w:rPr>
          <w:rFonts w:ascii="Georgia" w:hAnsi="Georgia"/>
          <w:b/>
          <w:bCs/>
          <w:color w:val="333333"/>
          <w:sz w:val="24"/>
          <w:szCs w:val="24"/>
        </w:rPr>
        <w:t>Outcomes</w:t>
      </w:r>
      <w:r w:rsidRPr="00976273">
        <w:rPr>
          <w:rFonts w:ascii="Georgia" w:hAnsi="Georgia"/>
          <w:color w:val="333333"/>
          <w:sz w:val="24"/>
          <w:szCs w:val="24"/>
        </w:rPr>
        <w:br/>
        <w:t>Graduates must demonstrate the ability to apply the following to the solution of manufacturing programs to achieve manufacturing competitiveness: (a) materials and manufacturing processes; (b) product design process, tooling, and assembly; (c) manufacturing systems, automation, and operations; (d) statistics, quality and continuous improvement, and industrial organization and management.</w:t>
      </w:r>
    </w:p>
    <w:p w:rsidR="00422429" w:rsidRDefault="007B2299" w:rsidP="007B2299">
      <w:r w:rsidRPr="00976273">
        <w:rPr>
          <w:rFonts w:ascii="Georgia" w:hAnsi="Georgia"/>
          <w:color w:val="333333"/>
          <w:sz w:val="24"/>
          <w:szCs w:val="24"/>
        </w:rPr>
        <w:t>Graduates of baccalaureate degree programs must have a capstone or integrating experience that develops and illustrates student competencies in applying both technical and non-technical skills in successfully solvin</w:t>
      </w:r>
    </w:p>
    <w:sectPr w:rsidR="004224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erdana">
    <w:panose1 w:val="020B0604030504040204"/>
    <w:charset w:val="A3"/>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FC168B"/>
    <w:multiLevelType w:val="multilevel"/>
    <w:tmpl w:val="25884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CF425A"/>
    <w:multiLevelType w:val="multilevel"/>
    <w:tmpl w:val="88F80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299"/>
    <w:rsid w:val="002467B1"/>
    <w:rsid w:val="002D1D64"/>
    <w:rsid w:val="00322DD7"/>
    <w:rsid w:val="00370DDF"/>
    <w:rsid w:val="00383A4F"/>
    <w:rsid w:val="00707C9A"/>
    <w:rsid w:val="007B2299"/>
    <w:rsid w:val="00A31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DAF747-FF0C-4EF2-B782-F758B22C3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299"/>
    <w:pPr>
      <w:spacing w:after="0" w:line="240" w:lineRule="auto"/>
    </w:pPr>
    <w:rPr>
      <w:rFonts w:ascii="Times New Roman" w:eastAsia="Times New Roman" w:hAnsi="Times New Roman" w:cs="Times New Roman"/>
      <w:color w:val="0000FF"/>
      <w:sz w:val="28"/>
      <w:szCs w:val="28"/>
    </w:rPr>
  </w:style>
  <w:style w:type="paragraph" w:styleId="Heading1">
    <w:name w:val="heading 1"/>
    <w:basedOn w:val="Normal"/>
    <w:next w:val="Normal"/>
    <w:link w:val="Heading1Char"/>
    <w:qFormat/>
    <w:rsid w:val="007B2299"/>
    <w:pPr>
      <w:keepNext/>
      <w:overflowPunct w:val="0"/>
      <w:autoSpaceDE w:val="0"/>
      <w:autoSpaceDN w:val="0"/>
      <w:adjustRightInd w:val="0"/>
      <w:textAlignment w:val="baseline"/>
      <w:outlineLvl w:val="0"/>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2299"/>
    <w:rPr>
      <w:rFonts w:ascii="Times New Roman" w:eastAsia="Times New Roman" w:hAnsi="Times New Roman" w:cs="Times New Roman"/>
      <w:color w:val="0000FF"/>
      <w:sz w:val="40"/>
      <w:szCs w:val="40"/>
    </w:rPr>
  </w:style>
  <w:style w:type="paragraph" w:styleId="NormalWeb">
    <w:name w:val="Normal (Web)"/>
    <w:basedOn w:val="Normal"/>
    <w:uiPriority w:val="99"/>
    <w:rsid w:val="007B2299"/>
    <w:pPr>
      <w:spacing w:before="100" w:beforeAutospacing="1" w:after="100" w:afterAutospacing="1"/>
    </w:pPr>
  </w:style>
  <w:style w:type="character" w:styleId="Hyperlink">
    <w:name w:val="Hyperlink"/>
    <w:rsid w:val="007B2299"/>
    <w:rPr>
      <w:color w:val="0000FF"/>
      <w:u w:val="single"/>
    </w:rPr>
  </w:style>
  <w:style w:type="character" w:styleId="Strong">
    <w:name w:val="Strong"/>
    <w:uiPriority w:val="22"/>
    <w:qFormat/>
    <w:rsid w:val="007B2299"/>
    <w:rPr>
      <w:b/>
      <w:bCs/>
    </w:rPr>
  </w:style>
  <w:style w:type="character" w:customStyle="1" w:styleId="apple-converted-space">
    <w:name w:val="apple-converted-space"/>
    <w:rsid w:val="007B2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bet.org/accreditation/accreditation-criteria/criteria-for-accrediting-engineering-technology-programs-2016-2017" TargetMode="External"/><Relationship Id="rId13" Type="http://schemas.openxmlformats.org/officeDocument/2006/relationships/hyperlink" Target="http://www.abet.org/accreditation/accreditation-criteria/criteria-for-accrediting-engineering-technology-programs-2016-201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bet.org/accreditation/accreditation-criteria/criteria-for-accrediting-engineering-technology-programs-2016-2017/" TargetMode="External"/><Relationship Id="rId12" Type="http://schemas.openxmlformats.org/officeDocument/2006/relationships/hyperlink" Target="http://www.abet.org/accreditation/accreditation-criteria/criteria-for-accrediting-engineering-technology-programs-2016-2017" TargetMode="External"/><Relationship Id="rId17" Type="http://schemas.openxmlformats.org/officeDocument/2006/relationships/hyperlink" Target="http://www.abet.org/accreditation/accreditation-criteria/criteria-for-accrediting-engineering-technology-programs-2016-2017" TargetMode="External"/><Relationship Id="rId2" Type="http://schemas.openxmlformats.org/officeDocument/2006/relationships/numbering" Target="numbering.xml"/><Relationship Id="rId16" Type="http://schemas.openxmlformats.org/officeDocument/2006/relationships/hyperlink" Target="http://www.abet.org/accreditation/accreditation-criteria/criteria-for-accrediting-engineering-technology-programs-2016-2017" TargetMode="External"/><Relationship Id="rId1" Type="http://schemas.openxmlformats.org/officeDocument/2006/relationships/customXml" Target="../customXml/item1.xml"/><Relationship Id="rId6" Type="http://schemas.openxmlformats.org/officeDocument/2006/relationships/hyperlink" Target="http://www.abet.org/wp-content/uploads/2015/10/T001-16-17-ETAC-Criteria-10-16-15.pdf" TargetMode="External"/><Relationship Id="rId11" Type="http://schemas.openxmlformats.org/officeDocument/2006/relationships/hyperlink" Target="http://www.abet.org/accreditation/accreditation-criteria/criteria-for-accrediting-engineering-technology-programs-2016-2017" TargetMode="External"/><Relationship Id="rId5" Type="http://schemas.openxmlformats.org/officeDocument/2006/relationships/webSettings" Target="webSettings.xml"/><Relationship Id="rId15" Type="http://schemas.openxmlformats.org/officeDocument/2006/relationships/hyperlink" Target="http://www.abet.org/accreditation/accreditation-criteria/criteria-for-accrediting-engineering-technology-programs-2016-2017" TargetMode="External"/><Relationship Id="rId10" Type="http://schemas.openxmlformats.org/officeDocument/2006/relationships/hyperlink" Target="http://www.abet.org/accreditation/accreditation-criteria/criteria-for-accrediting-engineering-technology-programs-2016-201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bet.org/accreditation/accreditation-criteria/criteria-for-accrediting-engineering-technology-programs-2016-2017" TargetMode="External"/><Relationship Id="rId14" Type="http://schemas.openxmlformats.org/officeDocument/2006/relationships/hyperlink" Target="http://www.abet.org/accreditation/accreditation-criteria/criteria-for-accrediting-engineering-technology-programs-2016-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C5BC499-5294-4956-BE85-F1BF3CF3B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2367</Words>
  <Characters>13494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15830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Tien Duat</dc:creator>
  <cp:lastModifiedBy>ANH TUAN</cp:lastModifiedBy>
  <cp:revision>2</cp:revision>
  <dcterms:created xsi:type="dcterms:W3CDTF">2017-04-02T03:18:00Z</dcterms:created>
  <dcterms:modified xsi:type="dcterms:W3CDTF">2017-04-02T03:18:00Z</dcterms:modified>
</cp:coreProperties>
</file>